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24" w:rsidRPr="00F06E3E" w:rsidRDefault="00C0775C">
      <w:pPr>
        <w:rPr>
          <w:rFonts w:ascii="Verdana" w:hAnsi="Verdana"/>
        </w:rPr>
      </w:pPr>
      <w:r>
        <w:rPr>
          <w:rFonts w:ascii="Verdana" w:hAnsi="Verdana"/>
        </w:rPr>
        <w:t>Springer</w:t>
      </w:r>
      <w:r w:rsidR="009439A2" w:rsidRPr="00F06E3E">
        <w:rPr>
          <w:rFonts w:ascii="Verdana" w:hAnsi="Verdana"/>
        </w:rPr>
        <w:t xml:space="preserve"> Autoloader Implementation Instructions</w:t>
      </w:r>
    </w:p>
    <w:p w:rsidR="00AA1006" w:rsidRPr="00AA1006" w:rsidRDefault="00EE781D" w:rsidP="00AA1006">
      <w:pPr>
        <w:pStyle w:val="Heading2"/>
        <w:rPr>
          <w:rFonts w:ascii="Verdana" w:hAnsi="Verdana"/>
          <w:b w:val="0"/>
          <w:sz w:val="22"/>
          <w:szCs w:val="22"/>
        </w:rPr>
      </w:pPr>
      <w:r w:rsidRPr="00AA1006">
        <w:rPr>
          <w:rFonts w:ascii="Verdana" w:eastAsiaTheme="minorHAnsi" w:hAnsi="Verdana"/>
          <w:b w:val="0"/>
          <w:sz w:val="22"/>
          <w:szCs w:val="22"/>
        </w:rPr>
        <w:t xml:space="preserve">1. </w:t>
      </w:r>
      <w:r w:rsidR="00AA1006" w:rsidRPr="00AA1006">
        <w:rPr>
          <w:rFonts w:ascii="Verdana" w:hAnsi="Verdana"/>
          <w:b w:val="0"/>
          <w:sz w:val="22"/>
          <w:szCs w:val="22"/>
        </w:rPr>
        <w:t>Obtaining the Institutional Token</w:t>
      </w:r>
      <w:r w:rsidR="00AA1006">
        <w:rPr>
          <w:rFonts w:ascii="Verdana" w:hAnsi="Verdana"/>
          <w:b w:val="0"/>
          <w:sz w:val="22"/>
          <w:szCs w:val="22"/>
        </w:rPr>
        <w:t>:</w:t>
      </w:r>
    </w:p>
    <w:p w:rsidR="00AA1006" w:rsidRPr="00AA1006" w:rsidRDefault="00AA1006" w:rsidP="00AA1006">
      <w:pPr>
        <w:pStyle w:val="NormalWeb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a. </w:t>
      </w:r>
      <w:r w:rsidRPr="00AA1006">
        <w:rPr>
          <w:rFonts w:ascii="Verdana" w:hAnsi="Verdana"/>
          <w:sz w:val="22"/>
          <w:szCs w:val="22"/>
        </w:rPr>
        <w:t>Log on to the Springer administration portal with your admin credentials: </w:t>
      </w:r>
      <w:hyperlink r:id="rId5" w:tgtFrame="_blank" w:tooltip="https://adminportal.springer.com/" w:history="1">
        <w:r w:rsidRPr="00AA1006">
          <w:rPr>
            <w:rStyle w:val="Hyperlink"/>
            <w:rFonts w:ascii="Verdana" w:hAnsi="Verdana"/>
            <w:sz w:val="22"/>
            <w:szCs w:val="22"/>
          </w:rPr>
          <w:t>https://adminportal.springer.com/</w:t>
        </w:r>
      </w:hyperlink>
      <w:r w:rsidRPr="00AA1006">
        <w:rPr>
          <w:rFonts w:ascii="Verdana" w:hAnsi="Verdana"/>
          <w:sz w:val="22"/>
          <w:szCs w:val="22"/>
        </w:rPr>
        <w:t>.</w:t>
      </w:r>
    </w:p>
    <w:p w:rsidR="00AA1006" w:rsidRPr="00AA1006" w:rsidRDefault="00AA1006" w:rsidP="00AA1006">
      <w:pPr>
        <w:pStyle w:val="NormalWeb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b. </w:t>
      </w:r>
      <w:r w:rsidRPr="00AA1006">
        <w:rPr>
          <w:rFonts w:ascii="Verdana" w:hAnsi="Verdana"/>
          <w:sz w:val="22"/>
          <w:szCs w:val="22"/>
        </w:rPr>
        <w:t>Open the Title Lists page.</w:t>
      </w:r>
    </w:p>
    <w:p w:rsidR="00AA1006" w:rsidRPr="00AA1006" w:rsidRDefault="00AA1006" w:rsidP="00AA1006">
      <w:pPr>
        <w:pStyle w:val="NormalWeb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 </w:t>
      </w:r>
      <w:r w:rsidRPr="00AA1006">
        <w:rPr>
          <w:rFonts w:ascii="Verdana" w:hAnsi="Verdana"/>
          <w:sz w:val="22"/>
          <w:szCs w:val="22"/>
        </w:rPr>
        <w:t xml:space="preserve">The token is listed under the </w:t>
      </w:r>
      <w:proofErr w:type="gramStart"/>
      <w:r w:rsidRPr="00AA1006">
        <w:rPr>
          <w:rStyle w:val="Strong"/>
          <w:rFonts w:ascii="Verdana" w:hAnsi="Verdana"/>
          <w:sz w:val="22"/>
          <w:szCs w:val="22"/>
        </w:rPr>
        <w:t>Automated</w:t>
      </w:r>
      <w:proofErr w:type="gramEnd"/>
      <w:r w:rsidRPr="00AA1006">
        <w:rPr>
          <w:rStyle w:val="Strong"/>
          <w:rFonts w:ascii="Verdana" w:hAnsi="Verdana"/>
          <w:sz w:val="22"/>
          <w:szCs w:val="22"/>
        </w:rPr>
        <w:t xml:space="preserve"> title list updates / automatic collection loading </w:t>
      </w:r>
      <w:r w:rsidRPr="00AA1006">
        <w:rPr>
          <w:rFonts w:ascii="Verdana" w:hAnsi="Verdana"/>
          <w:sz w:val="22"/>
          <w:szCs w:val="22"/>
        </w:rPr>
        <w:t>heading. No action is needed to create the token since it is automatically created for the institution.</w:t>
      </w:r>
    </w:p>
    <w:p w:rsidR="002637EA" w:rsidRPr="00F06E3E" w:rsidRDefault="00EE781D" w:rsidP="00AA1006">
      <w:pPr>
        <w:pStyle w:val="List1"/>
        <w:numPr>
          <w:ilvl w:val="0"/>
          <w:numId w:val="0"/>
        </w:numPr>
        <w:rPr>
          <w:rFonts w:ascii="Verdana" w:eastAsiaTheme="minorHAnsi" w:hAnsi="Verdana" w:cs="Courier New"/>
          <w:sz w:val="22"/>
          <w:szCs w:val="22"/>
        </w:rPr>
      </w:pPr>
      <w:r w:rsidRPr="00F06E3E">
        <w:rPr>
          <w:rFonts w:ascii="Verdana" w:eastAsiaTheme="minorHAnsi" w:hAnsi="Verdana" w:cs="Courier New"/>
          <w:sz w:val="22"/>
          <w:szCs w:val="22"/>
        </w:rPr>
        <w:t xml:space="preserve"> </w:t>
      </w:r>
    </w:p>
    <w:p w:rsidR="00544A5A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2. 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In </w:t>
      </w:r>
      <w:proofErr w:type="spellStart"/>
      <w:r w:rsidR="00544A5A" w:rsidRPr="00F06E3E">
        <w:rPr>
          <w:rFonts w:ascii="Verdana" w:eastAsiaTheme="minorHAnsi" w:hAnsi="Verdana"/>
          <w:sz w:val="22"/>
          <w:szCs w:val="22"/>
        </w:rPr>
        <w:t>KBManager</w:t>
      </w:r>
      <w:proofErr w:type="spellEnd"/>
      <w:r w:rsidR="00544A5A" w:rsidRPr="00F06E3E">
        <w:rPr>
          <w:rFonts w:ascii="Verdana" w:eastAsiaTheme="minorHAnsi" w:hAnsi="Verdana"/>
          <w:sz w:val="22"/>
          <w:szCs w:val="22"/>
        </w:rPr>
        <w:t xml:space="preserve">, activate the </w:t>
      </w:r>
      <w:r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 dedicated targets and their </w:t>
      </w:r>
      <w:proofErr w:type="spellStart"/>
      <w:r w:rsidR="00544A5A" w:rsidRPr="00F06E3E">
        <w:rPr>
          <w:rFonts w:ascii="Verdana" w:eastAsiaTheme="minorHAnsi" w:hAnsi="Verdana"/>
          <w:sz w:val="22"/>
          <w:szCs w:val="22"/>
        </w:rPr>
        <w:t>getFullTxt</w:t>
      </w:r>
      <w:proofErr w:type="spellEnd"/>
      <w:r w:rsidR="00544A5A" w:rsidRPr="00F06E3E">
        <w:rPr>
          <w:rFonts w:ascii="Verdana" w:eastAsiaTheme="minorHAnsi" w:hAnsi="Verdana"/>
          <w:sz w:val="22"/>
          <w:szCs w:val="22"/>
        </w:rPr>
        <w:t xml:space="preserve"> target services: </w:t>
      </w:r>
    </w:p>
    <w:p w:rsidR="00AA1006" w:rsidRPr="00AA1006" w:rsidRDefault="00AA1006" w:rsidP="00AA1006">
      <w:pPr>
        <w:pStyle w:val="Bullet2"/>
        <w:rPr>
          <w:b/>
        </w:rPr>
      </w:pPr>
      <w:r w:rsidRPr="00AA1006">
        <w:rPr>
          <w:b/>
        </w:rPr>
        <w:t>SPRINGER_LINK_BOOKS_AUTOLOAD</w:t>
      </w:r>
      <w:r w:rsidRPr="00AA1006">
        <w:rPr>
          <w:rFonts w:ascii="Cambria Math" w:hAnsi="Cambria Math" w:cs="Cambria Math"/>
          <w:b/>
        </w:rPr>
        <w:t>‐</w:t>
      </w:r>
      <w:proofErr w:type="spellStart"/>
      <w:r w:rsidRPr="00AA1006">
        <w:rPr>
          <w:b/>
        </w:rPr>
        <w:t>getFulltxt</w:t>
      </w:r>
      <w:proofErr w:type="spellEnd"/>
    </w:p>
    <w:p w:rsidR="00AA1006" w:rsidRPr="00AA1006" w:rsidRDefault="00AA1006" w:rsidP="00AA1006">
      <w:pPr>
        <w:pStyle w:val="Bullet2"/>
        <w:rPr>
          <w:b/>
        </w:rPr>
      </w:pPr>
      <w:r w:rsidRPr="00AA1006">
        <w:rPr>
          <w:b/>
        </w:rPr>
        <w:t>SPRINGER_LINK_JOURNALS_AUTOLOAD</w:t>
      </w:r>
      <w:r w:rsidRPr="00AA1006">
        <w:rPr>
          <w:rFonts w:ascii="Cambria Math" w:hAnsi="Cambria Math" w:cs="Cambria Math"/>
          <w:b/>
        </w:rPr>
        <w:t>‐</w:t>
      </w:r>
      <w:proofErr w:type="spellStart"/>
      <w:r w:rsidRPr="00AA1006">
        <w:rPr>
          <w:b/>
        </w:rPr>
        <w:t>getFulltxt</w:t>
      </w:r>
      <w:proofErr w:type="spellEnd"/>
    </w:p>
    <w:p w:rsidR="00954B12" w:rsidRPr="00F06E3E" w:rsidRDefault="00954B12" w:rsidP="00AA1006">
      <w:pPr>
        <w:pStyle w:val="Bullet2"/>
        <w:numPr>
          <w:ilvl w:val="0"/>
          <w:numId w:val="0"/>
        </w:numPr>
        <w:ind w:left="760"/>
        <w:rPr>
          <w:rFonts w:ascii="Verdana" w:eastAsiaTheme="minorHAnsi" w:hAnsi="Verdana"/>
          <w:sz w:val="22"/>
          <w:szCs w:val="22"/>
        </w:rPr>
      </w:pPr>
    </w:p>
    <w:p w:rsidR="00544A5A" w:rsidRPr="00F06E3E" w:rsidRDefault="00EE781D" w:rsidP="00EE781D">
      <w:pPr>
        <w:pStyle w:val="List1"/>
        <w:numPr>
          <w:ilvl w:val="0"/>
          <w:numId w:val="0"/>
        </w:numPr>
        <w:ind w:left="3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8A481D" w:rsidRPr="00F06E3E">
        <w:rPr>
          <w:rFonts w:ascii="Verdana" w:eastAsiaTheme="minorHAnsi" w:hAnsi="Verdana"/>
          <w:sz w:val="22"/>
          <w:szCs w:val="22"/>
        </w:rPr>
        <w:t>If you only get journals or</w:t>
      </w:r>
      <w:r w:rsidR="00C0775C">
        <w:rPr>
          <w:rFonts w:ascii="Verdana" w:eastAsiaTheme="minorHAnsi" w:hAnsi="Verdana"/>
          <w:sz w:val="22"/>
          <w:szCs w:val="22"/>
        </w:rPr>
        <w:t xml:space="preserve"> only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 </w:t>
      </w:r>
      <w:proofErr w:type="spellStart"/>
      <w:r w:rsidR="008A481D" w:rsidRPr="00F06E3E">
        <w:rPr>
          <w:rFonts w:ascii="Verdana" w:eastAsiaTheme="minorHAnsi" w:hAnsi="Verdana"/>
          <w:sz w:val="22"/>
          <w:szCs w:val="22"/>
        </w:rPr>
        <w:t>ebooks</w:t>
      </w:r>
      <w:proofErr w:type="spellEnd"/>
      <w:r w:rsidR="008A481D" w:rsidRPr="00F06E3E">
        <w:rPr>
          <w:rFonts w:ascii="Verdana" w:eastAsiaTheme="minorHAnsi" w:hAnsi="Verdana"/>
          <w:sz w:val="22"/>
          <w:szCs w:val="22"/>
        </w:rPr>
        <w:t xml:space="preserve">, then just activate the </w:t>
      </w:r>
      <w:r w:rsidR="00CA646A" w:rsidRPr="00F06E3E">
        <w:rPr>
          <w:rFonts w:ascii="Verdana" w:eastAsiaTheme="minorHAnsi" w:hAnsi="Verdana"/>
          <w:sz w:val="22"/>
          <w:szCs w:val="22"/>
        </w:rPr>
        <w:t xml:space="preserve">one 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appropriate target. </w:t>
      </w:r>
    </w:p>
    <w:p w:rsidR="008A481D" w:rsidRPr="00F06E3E" w:rsidRDefault="008A481D" w:rsidP="008A4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544A5A" w:rsidRPr="00F06E3E" w:rsidRDefault="00544A5A" w:rsidP="00544A5A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FB1A6B" w:rsidRPr="00FB1A6B" w:rsidRDefault="00EE781D" w:rsidP="00F06E3E">
      <w:pPr>
        <w:pStyle w:val="List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3. </w:t>
      </w:r>
      <w:r w:rsidR="00FB1A6B" w:rsidRPr="00FB1A6B">
        <w:rPr>
          <w:rFonts w:ascii="Verdana" w:hAnsi="Verdana"/>
          <w:sz w:val="22"/>
          <w:szCs w:val="22"/>
        </w:rPr>
        <w:t xml:space="preserve">In the </w:t>
      </w:r>
      <w:r w:rsidR="0062175B" w:rsidRPr="00F06E3E">
        <w:rPr>
          <w:rFonts w:ascii="Verdana" w:hAnsi="Verdana"/>
          <w:sz w:val="22"/>
          <w:szCs w:val="22"/>
        </w:rPr>
        <w:t>Edit Target Service window, click on</w:t>
      </w:r>
      <w:r w:rsidR="00FB1A6B" w:rsidRPr="00FB1A6B">
        <w:rPr>
          <w:rFonts w:ascii="Verdana" w:hAnsi="Verdana"/>
          <w:sz w:val="22"/>
          <w:szCs w:val="22"/>
        </w:rPr>
        <w:t xml:space="preserve"> the </w:t>
      </w:r>
      <w:r w:rsidR="0062175B" w:rsidRPr="00F06E3E">
        <w:rPr>
          <w:rFonts w:ascii="Verdana" w:hAnsi="Verdana"/>
          <w:sz w:val="22"/>
          <w:szCs w:val="22"/>
        </w:rPr>
        <w:t>“</w:t>
      </w:r>
      <w:proofErr w:type="spellStart"/>
      <w:r w:rsidR="0062175B" w:rsidRPr="00F06E3E">
        <w:rPr>
          <w:rFonts w:ascii="Verdana" w:hAnsi="Verdana"/>
          <w:sz w:val="22"/>
          <w:szCs w:val="22"/>
        </w:rPr>
        <w:t>Autoload</w:t>
      </w:r>
      <w:proofErr w:type="spellEnd"/>
      <w:r w:rsidR="0062175B" w:rsidRPr="00F06E3E">
        <w:rPr>
          <w:rFonts w:ascii="Verdana" w:hAnsi="Verdana"/>
          <w:sz w:val="22"/>
          <w:szCs w:val="22"/>
        </w:rPr>
        <w:t xml:space="preserve"> tab.”  </w:t>
      </w:r>
    </w:p>
    <w:p w:rsidR="00FB1A6B" w:rsidRPr="00FB1A6B" w:rsidRDefault="00FB1A6B" w:rsidP="00FB1A6B">
      <w:pPr>
        <w:spacing w:after="0" w:line="240" w:lineRule="auto"/>
        <w:rPr>
          <w:rFonts w:ascii="Verdana" w:hAnsi="Verdana"/>
        </w:rPr>
      </w:pPr>
      <w:r w:rsidRPr="00FB1A6B">
        <w:rPr>
          <w:rFonts w:ascii="Verdana" w:hAnsi="Verdana"/>
        </w:rPr>
        <w:t>Edit Target Service Window</w:t>
      </w:r>
    </w:p>
    <w:p w:rsidR="00FB1A6B" w:rsidRPr="00F06E3E" w:rsidRDefault="00AA1006" w:rsidP="00FB1A6B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noProof/>
          <w:sz w:val="22"/>
          <w:szCs w:val="22"/>
        </w:rPr>
        <w:drawing>
          <wp:inline distT="0" distB="0" distL="0" distR="0">
            <wp:extent cx="5943600" cy="2070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er_autoloadE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a. </w:t>
      </w:r>
      <w:r w:rsidR="008A481D" w:rsidRPr="00F06E3E">
        <w:rPr>
          <w:rFonts w:ascii="Verdana" w:eastAsiaTheme="minorHAnsi" w:hAnsi="Verdana"/>
          <w:sz w:val="22"/>
          <w:szCs w:val="22"/>
        </w:rPr>
        <w:t>Add you</w:t>
      </w:r>
      <w:r w:rsidR="00F06E3E" w:rsidRPr="00F06E3E">
        <w:rPr>
          <w:rFonts w:ascii="Verdana" w:eastAsiaTheme="minorHAnsi" w:hAnsi="Verdana"/>
          <w:sz w:val="22"/>
          <w:szCs w:val="22"/>
        </w:rPr>
        <w:t>r email to the section “E</w:t>
      </w:r>
      <w:r w:rsidR="008A481D" w:rsidRPr="00F06E3E">
        <w:rPr>
          <w:rFonts w:ascii="Verdana" w:eastAsiaTheme="minorHAnsi" w:hAnsi="Verdana"/>
          <w:sz w:val="22"/>
          <w:szCs w:val="22"/>
        </w:rPr>
        <w:t>mail</w:t>
      </w:r>
      <w:r w:rsidR="00F06E3E" w:rsidRPr="00F06E3E">
        <w:rPr>
          <w:rFonts w:ascii="Verdana" w:eastAsiaTheme="minorHAnsi" w:hAnsi="Verdana"/>
          <w:sz w:val="22"/>
          <w:szCs w:val="22"/>
        </w:rPr>
        <w:t>.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” 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b. </w:t>
      </w:r>
      <w:r w:rsidR="00F06E3E" w:rsidRPr="00F06E3E">
        <w:rPr>
          <w:rFonts w:ascii="Verdana" w:eastAsiaTheme="minorHAnsi" w:hAnsi="Verdana"/>
          <w:sz w:val="22"/>
          <w:szCs w:val="22"/>
        </w:rPr>
        <w:t>Click on circle before “Active.”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 </w:t>
      </w:r>
    </w:p>
    <w:p w:rsidR="00954B12" w:rsidRPr="00F06E3E" w:rsidRDefault="00EE781D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c. </w:t>
      </w:r>
      <w:r w:rsidR="008A481D" w:rsidRPr="00F06E3E">
        <w:rPr>
          <w:rFonts w:ascii="Verdana" w:eastAsiaTheme="minorHAnsi" w:hAnsi="Verdana"/>
          <w:sz w:val="22"/>
          <w:szCs w:val="22"/>
        </w:rPr>
        <w:t>Enter institutional tok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en from </w:t>
      </w:r>
      <w:r w:rsidR="00AA1006">
        <w:rPr>
          <w:rFonts w:ascii="Verdana" w:eastAsiaTheme="minorHAnsi" w:hAnsi="Verdana"/>
          <w:sz w:val="22"/>
          <w:szCs w:val="22"/>
        </w:rPr>
        <w:t>Springer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 in Token field.</w:t>
      </w:r>
    </w:p>
    <w:p w:rsidR="00F06E3E" w:rsidRPr="00F06E3E" w:rsidRDefault="00F06E3E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d. Click “Submit” to save. </w:t>
      </w:r>
    </w:p>
    <w:p w:rsidR="00F06E3E" w:rsidRPr="00F06E3E" w:rsidRDefault="00F06E3E" w:rsidP="00EE781D">
      <w:pPr>
        <w:pStyle w:val="List1"/>
        <w:numPr>
          <w:ilvl w:val="0"/>
          <w:numId w:val="0"/>
        </w:numPr>
        <w:ind w:left="10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lastRenderedPageBreak/>
        <w:t xml:space="preserve">e. While present, the “Schedule this process…” will do nothing. See #5. </w:t>
      </w:r>
    </w:p>
    <w:p w:rsidR="00FB1A6B" w:rsidRPr="00F06E3E" w:rsidRDefault="0062175B" w:rsidP="00EE781D">
      <w:pPr>
        <w:pStyle w:val="List1"/>
        <w:numPr>
          <w:ilvl w:val="0"/>
          <w:numId w:val="0"/>
        </w:numPr>
        <w:ind w:left="36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 </w:t>
      </w:r>
    </w:p>
    <w:p w:rsidR="00FB1A6B" w:rsidRPr="00F06E3E" w:rsidRDefault="00FB1A6B" w:rsidP="00FB1A6B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4. Optional but recommended: Set up display logic rule: </w:t>
      </w:r>
    </w:p>
    <w:p w:rsidR="00FB1A6B" w:rsidRPr="00F06E3E" w:rsidRDefault="00FB1A6B" w:rsidP="00FB1A6B">
      <w:pPr>
        <w:pStyle w:val="ListContinue1"/>
        <w:rPr>
          <w:rFonts w:ascii="Verdana" w:eastAsiaTheme="minorHAnsi" w:hAnsi="Verdana" w:cs="Courier New"/>
          <w:sz w:val="22"/>
          <w:szCs w:val="22"/>
        </w:rPr>
      </w:pPr>
      <w:r w:rsidRPr="00F06E3E">
        <w:rPr>
          <w:rFonts w:ascii="Verdana" w:eastAsiaTheme="minorHAnsi" w:hAnsi="Verdana" w:cs="Courier New"/>
          <w:sz w:val="22"/>
          <w:szCs w:val="22"/>
        </w:rPr>
        <w:t xml:space="preserve">If available:  </w:t>
      </w:r>
      <w:r w:rsidR="00AA1006" w:rsidRPr="00AA1006">
        <w:rPr>
          <w:rFonts w:ascii="Verdana" w:hAnsi="Verdana"/>
        </w:rPr>
        <w:t>SPRINGER_LINK_</w:t>
      </w:r>
      <w:r w:rsidR="00AA1006">
        <w:rPr>
          <w:rFonts w:ascii="Verdana" w:hAnsi="Verdana"/>
        </w:rPr>
        <w:t>...</w:t>
      </w:r>
      <w:r w:rsidRPr="00F06E3E">
        <w:rPr>
          <w:rFonts w:ascii="Verdana" w:eastAsiaTheme="minorHAnsi" w:hAnsi="Verdana"/>
          <w:sz w:val="22"/>
          <w:szCs w:val="22"/>
        </w:rPr>
        <w:t>_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AUTOLOAD_</w:t>
      </w:r>
      <w:proofErr w:type="gramStart"/>
      <w:r w:rsidRPr="00F06E3E">
        <w:rPr>
          <w:rFonts w:ascii="Verdana" w:eastAsiaTheme="minorHAnsi" w:hAnsi="Verdana"/>
          <w:sz w:val="22"/>
          <w:szCs w:val="22"/>
        </w:rPr>
        <w:t>xxx</w:t>
      </w:r>
      <w:proofErr w:type="spellEnd"/>
      <w:r w:rsidRPr="00F06E3E">
        <w:rPr>
          <w:rFonts w:ascii="Verdana" w:eastAsiaTheme="minorHAnsi" w:hAnsi="Verdana"/>
          <w:sz w:val="22"/>
          <w:szCs w:val="22"/>
        </w:rPr>
        <w:t xml:space="preserve"> 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getFullTxt</w:t>
      </w:r>
      <w:proofErr w:type="spellEnd"/>
      <w:proofErr w:type="gramEnd"/>
    </w:p>
    <w:p w:rsidR="00FB1A6B" w:rsidRDefault="00FB1A6B" w:rsidP="00FB1A6B">
      <w:pPr>
        <w:pStyle w:val="ListContinue1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 w:cs="Courier New"/>
          <w:sz w:val="22"/>
          <w:szCs w:val="22"/>
        </w:rPr>
        <w:t xml:space="preserve">Do not show:  </w:t>
      </w:r>
      <w:r w:rsidR="00AA1006">
        <w:t xml:space="preserve">SPRINGER_LINK*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getFullTxt</w:t>
      </w:r>
      <w:proofErr w:type="spellEnd"/>
    </w:p>
    <w:p w:rsidR="00AA1006" w:rsidRDefault="00AA1006" w:rsidP="00AA1006">
      <w:pPr>
        <w:pStyle w:val="ListContinue1"/>
        <w:tabs>
          <w:tab w:val="left" w:pos="1470"/>
        </w:tabs>
        <w:rPr>
          <w:rFonts w:ascii="Verdana" w:eastAsiaTheme="minorHAnsi" w:hAnsi="Verdana"/>
          <w:sz w:val="22"/>
          <w:szCs w:val="22"/>
        </w:rPr>
      </w:pPr>
    </w:p>
    <w:p w:rsidR="00FB1A6B" w:rsidRPr="00F06E3E" w:rsidRDefault="00FB1A6B" w:rsidP="00AA1006">
      <w:pPr>
        <w:pStyle w:val="ListContinue1"/>
        <w:tabs>
          <w:tab w:val="left" w:pos="1470"/>
        </w:tabs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This rule prevents </w:t>
      </w:r>
      <w:r w:rsidR="00AA1006">
        <w:rPr>
          <w:rFonts w:ascii="Verdana" w:eastAsiaTheme="minorHAnsi" w:hAnsi="Verdana"/>
          <w:sz w:val="22"/>
          <w:szCs w:val="22"/>
        </w:rPr>
        <w:t>patrons</w:t>
      </w:r>
      <w:r w:rsidRPr="00F06E3E">
        <w:rPr>
          <w:rFonts w:ascii="Verdana" w:eastAsiaTheme="minorHAnsi" w:hAnsi="Verdana"/>
          <w:sz w:val="22"/>
          <w:szCs w:val="22"/>
        </w:rPr>
        <w:t xml:space="preserve"> from seeing duplicate targets in the SFX menu during the transition period.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 XXX is for either the Journals or Books target</w:t>
      </w:r>
      <w:r w:rsidR="00C0775C">
        <w:rPr>
          <w:rFonts w:ascii="Verdana" w:eastAsiaTheme="minorHAnsi" w:hAnsi="Verdana"/>
          <w:sz w:val="22"/>
          <w:szCs w:val="22"/>
        </w:rPr>
        <w:t xml:space="preserve"> (or both) you have just activated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. </w:t>
      </w:r>
    </w:p>
    <w:p w:rsidR="00EE781D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EE781D" w:rsidRPr="00F06E3E" w:rsidRDefault="00C0775C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5</w:t>
      </w:r>
      <w:r w:rsidR="00EE781D" w:rsidRPr="00F06E3E">
        <w:rPr>
          <w:rFonts w:ascii="Verdana" w:eastAsiaTheme="minorHAnsi" w:hAnsi="Verdana"/>
          <w:sz w:val="22"/>
          <w:szCs w:val="22"/>
        </w:rPr>
        <w:t xml:space="preserve">. Send to </w:t>
      </w:r>
      <w:hyperlink r:id="rId7" w:history="1">
        <w:r w:rsidR="00EE781D" w:rsidRPr="00F06E3E">
          <w:rPr>
            <w:rStyle w:val="Hyperlink"/>
            <w:rFonts w:ascii="Verdana" w:eastAsiaTheme="minorHAnsi" w:hAnsi="Verdana"/>
            <w:sz w:val="22"/>
            <w:szCs w:val="22"/>
          </w:rPr>
          <w:t>support@carli.edu</w:t>
        </w:r>
      </w:hyperlink>
      <w:r w:rsidR="00EE781D" w:rsidRPr="00F06E3E">
        <w:rPr>
          <w:rFonts w:ascii="Verdana" w:eastAsiaTheme="minorHAnsi" w:hAnsi="Verdana"/>
          <w:sz w:val="22"/>
          <w:szCs w:val="22"/>
        </w:rPr>
        <w:t xml:space="preserve"> a request to start the </w:t>
      </w:r>
      <w:proofErr w:type="spellStart"/>
      <w:r w:rsidR="00EE781D" w:rsidRPr="00F06E3E">
        <w:rPr>
          <w:rFonts w:ascii="Verdana" w:eastAsiaTheme="minorHAnsi" w:hAnsi="Verdana"/>
          <w:sz w:val="22"/>
          <w:szCs w:val="22"/>
        </w:rPr>
        <w:t>autoload</w:t>
      </w:r>
      <w:proofErr w:type="spellEnd"/>
      <w:r w:rsidR="00EE781D" w:rsidRPr="00F06E3E">
        <w:rPr>
          <w:rFonts w:ascii="Verdana" w:eastAsiaTheme="minorHAnsi" w:hAnsi="Verdana"/>
          <w:sz w:val="22"/>
          <w:szCs w:val="22"/>
        </w:rPr>
        <w:t xml:space="preserve"> process: Answer these questions: </w:t>
      </w:r>
    </w:p>
    <w:p w:rsidR="00544A5A" w:rsidRPr="00F06E3E" w:rsidRDefault="00EE781D" w:rsidP="00642123">
      <w:pPr>
        <w:pStyle w:val="List1"/>
        <w:numPr>
          <w:ilvl w:val="0"/>
          <w:numId w:val="0"/>
        </w:numPr>
        <w:ind w:firstLine="380"/>
        <w:rPr>
          <w:rFonts w:ascii="Verdana" w:eastAsiaTheme="minorHAnsi" w:hAnsi="Verdana"/>
          <w:sz w:val="22"/>
          <w:szCs w:val="22"/>
        </w:rPr>
      </w:pPr>
      <w:proofErr w:type="gramStart"/>
      <w:r w:rsidRPr="00F06E3E">
        <w:rPr>
          <w:rFonts w:ascii="Verdana" w:eastAsiaTheme="minorHAnsi" w:hAnsi="Verdana"/>
          <w:sz w:val="22"/>
          <w:szCs w:val="22"/>
        </w:rPr>
        <w:t xml:space="preserve">a. </w:t>
      </w:r>
      <w:r w:rsidR="00642123"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8509D6" w:rsidRPr="00F06E3E">
        <w:rPr>
          <w:rFonts w:ascii="Verdana" w:eastAsiaTheme="minorHAnsi" w:hAnsi="Verdana"/>
          <w:sz w:val="22"/>
          <w:szCs w:val="22"/>
        </w:rPr>
        <w:t>Do</w:t>
      </w:r>
      <w:proofErr w:type="gramEnd"/>
      <w:r w:rsidR="008509D6" w:rsidRPr="00F06E3E">
        <w:rPr>
          <w:rFonts w:ascii="Verdana" w:eastAsiaTheme="minorHAnsi" w:hAnsi="Verdana"/>
          <w:sz w:val="22"/>
          <w:szCs w:val="22"/>
        </w:rPr>
        <w:t xml:space="preserve"> you want the journals or books load or both?</w:t>
      </w:r>
    </w:p>
    <w:p w:rsidR="008509D6" w:rsidRPr="00F06E3E" w:rsidRDefault="008509D6" w:rsidP="00642123">
      <w:pPr>
        <w:pStyle w:val="List1"/>
        <w:numPr>
          <w:ilvl w:val="0"/>
          <w:numId w:val="0"/>
        </w:numPr>
        <w:ind w:firstLine="380"/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b. How frequently do you want the loads after the first test load? Once a month is recommended.  </w:t>
      </w:r>
    </w:p>
    <w:p w:rsidR="00544A5A" w:rsidRPr="00F06E3E" w:rsidRDefault="00544A5A" w:rsidP="00544A5A">
      <w:pPr>
        <w:pStyle w:val="List1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544A5A" w:rsidRPr="00F06E3E" w:rsidRDefault="00C0775C" w:rsidP="00F06E3E">
      <w:pPr>
        <w:pStyle w:val="List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EE781D" w:rsidRPr="00F06E3E">
        <w:rPr>
          <w:rFonts w:ascii="Verdana" w:hAnsi="Verdana"/>
          <w:sz w:val="22"/>
          <w:szCs w:val="22"/>
        </w:rPr>
        <w:t xml:space="preserve">. </w:t>
      </w:r>
      <w:r w:rsidR="00544A5A" w:rsidRPr="00F06E3E">
        <w:rPr>
          <w:rFonts w:ascii="Verdana" w:hAnsi="Verdana"/>
          <w:sz w:val="22"/>
          <w:szCs w:val="22"/>
        </w:rPr>
        <w:t xml:space="preserve">CARLI staff will run </w:t>
      </w:r>
      <w:proofErr w:type="spellStart"/>
      <w:r w:rsidR="00544A5A" w:rsidRPr="00F06E3E">
        <w:rPr>
          <w:rFonts w:ascii="Verdana" w:hAnsi="Verdana"/>
          <w:sz w:val="22"/>
          <w:szCs w:val="22"/>
        </w:rPr>
        <w:t>autoload</w:t>
      </w:r>
      <w:proofErr w:type="spellEnd"/>
      <w:r w:rsidR="00544A5A" w:rsidRPr="00F06E3E">
        <w:rPr>
          <w:rFonts w:ascii="Verdana" w:hAnsi="Verdana"/>
          <w:sz w:val="22"/>
          <w:szCs w:val="22"/>
        </w:rPr>
        <w:t xml:space="preserve"> options from the Server Admin Utility. </w:t>
      </w:r>
      <w:r w:rsidR="008A481D" w:rsidRPr="00F06E3E">
        <w:rPr>
          <w:rFonts w:ascii="Verdana" w:hAnsi="Verdana"/>
          <w:sz w:val="22"/>
          <w:szCs w:val="22"/>
        </w:rPr>
        <w:t xml:space="preserve">You will get log files of the run to help evaluate the results. </w:t>
      </w:r>
    </w:p>
    <w:p w:rsidR="008A481D" w:rsidRPr="00F06E3E" w:rsidRDefault="008A481D" w:rsidP="00EE781D">
      <w:pPr>
        <w:pStyle w:val="List1"/>
        <w:numPr>
          <w:ilvl w:val="0"/>
          <w:numId w:val="0"/>
        </w:numPr>
        <w:ind w:left="380"/>
        <w:rPr>
          <w:rFonts w:ascii="Verdana" w:hAnsi="Verdana"/>
          <w:sz w:val="22"/>
          <w:szCs w:val="22"/>
        </w:rPr>
      </w:pPr>
    </w:p>
    <w:p w:rsidR="00544A5A" w:rsidRPr="00F06E3E" w:rsidRDefault="00EE781D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After testing, </w:t>
      </w:r>
      <w:r w:rsidR="00544A5A" w:rsidRPr="00F06E3E">
        <w:rPr>
          <w:rFonts w:ascii="Verdana" w:eastAsiaTheme="minorHAnsi" w:hAnsi="Verdana"/>
          <w:sz w:val="22"/>
          <w:szCs w:val="22"/>
        </w:rPr>
        <w:t>CARLI staff will set up a scheduled task to run</w:t>
      </w:r>
      <w:r w:rsidR="008A481D" w:rsidRPr="00F06E3E">
        <w:rPr>
          <w:rFonts w:ascii="Verdana" w:eastAsiaTheme="minorHAnsi" w:hAnsi="Verdana"/>
          <w:sz w:val="22"/>
          <w:szCs w:val="22"/>
        </w:rPr>
        <w:t xml:space="preserve"> </w:t>
      </w:r>
      <w:r w:rsidR="00F06E3E" w:rsidRPr="00F06E3E">
        <w:rPr>
          <w:rFonts w:ascii="Verdana" w:eastAsiaTheme="minorHAnsi" w:hAnsi="Verdana"/>
          <w:sz w:val="22"/>
          <w:szCs w:val="22"/>
        </w:rPr>
        <w:t xml:space="preserve">the </w:t>
      </w:r>
      <w:proofErr w:type="gramStart"/>
      <w:r w:rsidR="00544A5A" w:rsidRPr="00F06E3E">
        <w:rPr>
          <w:rFonts w:ascii="Verdana" w:eastAsiaTheme="minorHAnsi" w:hAnsi="Verdana"/>
          <w:sz w:val="22"/>
          <w:szCs w:val="22"/>
        </w:rPr>
        <w:t>Automated</w:t>
      </w:r>
      <w:proofErr w:type="gramEnd"/>
      <w:r w:rsidR="00544A5A" w:rsidRPr="00F06E3E">
        <w:rPr>
          <w:rFonts w:ascii="Verdana" w:eastAsiaTheme="minorHAnsi" w:hAnsi="Verdana"/>
          <w:sz w:val="22"/>
          <w:szCs w:val="22"/>
        </w:rPr>
        <w:t xml:space="preserve"> load regularly. </w:t>
      </w:r>
    </w:p>
    <w:p w:rsidR="00F06E3E" w:rsidRPr="00F06E3E" w:rsidRDefault="00F06E3E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</w:p>
    <w:p w:rsidR="00544A5A" w:rsidRPr="00F06E3E" w:rsidRDefault="00F06E3E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Note: 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You can use </w:t>
      </w:r>
      <w:proofErr w:type="spellStart"/>
      <w:r w:rsidR="00544A5A" w:rsidRPr="00F06E3E">
        <w:rPr>
          <w:rFonts w:ascii="Verdana" w:eastAsiaTheme="minorHAnsi" w:hAnsi="Verdana"/>
          <w:b/>
          <w:bCs/>
          <w:sz w:val="22"/>
          <w:szCs w:val="22"/>
        </w:rPr>
        <w:t>KBTools</w:t>
      </w:r>
      <w:proofErr w:type="spellEnd"/>
      <w:r w:rsidR="00544A5A" w:rsidRPr="00F06E3E">
        <w:rPr>
          <w:rFonts w:ascii="Verdana" w:eastAsiaTheme="minorHAnsi" w:hAnsi="Verdana"/>
          <w:b/>
          <w:bCs/>
          <w:sz w:val="22"/>
          <w:szCs w:val="22"/>
        </w:rPr>
        <w:t xml:space="preserve"> &gt; Collection too</w:t>
      </w:r>
      <w:r w:rsidR="002637EA" w:rsidRPr="00F06E3E">
        <w:rPr>
          <w:rFonts w:ascii="Verdana" w:eastAsiaTheme="minorHAnsi" w:hAnsi="Verdana"/>
          <w:b/>
          <w:bCs/>
          <w:sz w:val="22"/>
          <w:szCs w:val="22"/>
        </w:rPr>
        <w:t>l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 from the SFX Admin Center to compare the activation and thresholds between the new </w:t>
      </w:r>
      <w:proofErr w:type="spellStart"/>
      <w:r w:rsidR="00544A5A" w:rsidRPr="00F06E3E">
        <w:rPr>
          <w:rFonts w:ascii="Verdana" w:eastAsiaTheme="minorHAnsi" w:hAnsi="Verdana"/>
          <w:sz w:val="22"/>
          <w:szCs w:val="22"/>
        </w:rPr>
        <w:t>autoload</w:t>
      </w:r>
      <w:proofErr w:type="spellEnd"/>
      <w:r w:rsidR="00544A5A" w:rsidRPr="00F06E3E">
        <w:rPr>
          <w:rFonts w:ascii="Verdana" w:eastAsiaTheme="minorHAnsi" w:hAnsi="Verdana"/>
          <w:sz w:val="22"/>
          <w:szCs w:val="22"/>
        </w:rPr>
        <w:t xml:space="preserve"> targets and the previously manually activated targets. This allows you to check that all activations are now in place in the new dedicated </w:t>
      </w:r>
      <w:r w:rsidR="006113DD">
        <w:rPr>
          <w:rFonts w:ascii="Verdana" w:eastAsiaTheme="minorHAnsi" w:hAnsi="Verdana"/>
          <w:sz w:val="22"/>
          <w:szCs w:val="22"/>
        </w:rPr>
        <w:t>Springer</w:t>
      </w:r>
      <w:r w:rsidR="00544A5A" w:rsidRPr="00F06E3E">
        <w:rPr>
          <w:rFonts w:ascii="Verdana" w:eastAsiaTheme="minorHAnsi" w:hAnsi="Verdana"/>
          <w:sz w:val="22"/>
          <w:szCs w:val="22"/>
        </w:rPr>
        <w:t xml:space="preserve"> targets.</w:t>
      </w:r>
    </w:p>
    <w:p w:rsidR="002637EA" w:rsidRPr="00F06E3E" w:rsidRDefault="00544A5A" w:rsidP="00EE781D">
      <w:pPr>
        <w:pStyle w:val="List1"/>
        <w:numPr>
          <w:ilvl w:val="0"/>
          <w:numId w:val="0"/>
        </w:numPr>
        <w:rPr>
          <w:rFonts w:ascii="Verdana" w:eastAsiaTheme="minorHAnsi" w:hAnsi="Verdana"/>
          <w:sz w:val="22"/>
          <w:szCs w:val="22"/>
        </w:rPr>
      </w:pPr>
      <w:r w:rsidRPr="00F06E3E">
        <w:rPr>
          <w:rFonts w:ascii="Verdana" w:eastAsiaTheme="minorHAnsi" w:hAnsi="Verdana"/>
          <w:sz w:val="22"/>
          <w:szCs w:val="22"/>
        </w:rPr>
        <w:t xml:space="preserve">Deactivate the old, manually activated targets and portfolios after successful testing and implementing the </w:t>
      </w:r>
      <w:proofErr w:type="spellStart"/>
      <w:r w:rsidRPr="00F06E3E">
        <w:rPr>
          <w:rFonts w:ascii="Verdana" w:eastAsiaTheme="minorHAnsi" w:hAnsi="Verdana"/>
          <w:sz w:val="22"/>
          <w:szCs w:val="22"/>
        </w:rPr>
        <w:t>autoloading</w:t>
      </w:r>
      <w:proofErr w:type="spellEnd"/>
      <w:r w:rsidRPr="00F06E3E">
        <w:rPr>
          <w:rFonts w:ascii="Verdana" w:eastAsiaTheme="minorHAnsi" w:hAnsi="Verdana"/>
          <w:sz w:val="22"/>
          <w:szCs w:val="22"/>
        </w:rPr>
        <w:t xml:space="preserve"> targets. </w:t>
      </w:r>
    </w:p>
    <w:p w:rsidR="008509D6" w:rsidRPr="00F06E3E" w:rsidRDefault="008509D6">
      <w:pPr>
        <w:rPr>
          <w:rFonts w:ascii="Verdana" w:eastAsiaTheme="minorHAnsi" w:hAnsi="Verdana"/>
        </w:rPr>
      </w:pPr>
    </w:p>
    <w:p w:rsidR="009439A2" w:rsidRPr="00F06E3E" w:rsidRDefault="008509D6" w:rsidP="00843A4F">
      <w:pPr>
        <w:jc w:val="both"/>
        <w:rPr>
          <w:rFonts w:ascii="Verdana" w:hAnsi="Verdana"/>
        </w:rPr>
      </w:pPr>
      <w:r w:rsidRPr="00F06E3E">
        <w:rPr>
          <w:rFonts w:ascii="Verdana" w:hAnsi="Verdana"/>
        </w:rPr>
        <w:t xml:space="preserve"> More info in: SFX General Users Guide, Target services editing starting on p. 59, as of 11/7/2018.  Available at </w:t>
      </w:r>
    </w:p>
    <w:p w:rsidR="008509D6" w:rsidRPr="009312AB" w:rsidRDefault="001325BA" w:rsidP="00843A4F">
      <w:pPr>
        <w:jc w:val="both"/>
        <w:rPr>
          <w:rStyle w:val="Hyperlink"/>
          <w:rFonts w:ascii="Verdana" w:hAnsi="Verdana"/>
          <w:color w:val="000000" w:themeColor="text1"/>
        </w:rPr>
      </w:pPr>
      <w:hyperlink r:id="rId8" w:history="1">
        <w:r w:rsidR="008509D6" w:rsidRPr="009312AB">
          <w:rPr>
            <w:rStyle w:val="Hyperlink"/>
            <w:rFonts w:ascii="Verdana" w:hAnsi="Verdana"/>
            <w:color w:val="000000" w:themeColor="text1"/>
          </w:rPr>
          <w:t>https://knowledge.exlibrisgroup.com/SFX/Product_Documentation/01_Version_4.0</w:t>
        </w:r>
      </w:hyperlink>
    </w:p>
    <w:p w:rsidR="00C0775C" w:rsidRPr="009312AB" w:rsidRDefault="009312AB" w:rsidP="00843A4F">
      <w:pPr>
        <w:jc w:val="both"/>
        <w:rPr>
          <w:rFonts w:ascii="Verdana" w:hAnsi="Verdana"/>
          <w:color w:val="000000" w:themeColor="text1"/>
        </w:rPr>
      </w:pPr>
      <w:r w:rsidRPr="009312AB">
        <w:rPr>
          <w:rStyle w:val="Hyperlink"/>
          <w:rFonts w:ascii="Verdana" w:hAnsi="Verdana"/>
          <w:color w:val="000000" w:themeColor="text1"/>
          <w:u w:val="none"/>
        </w:rPr>
        <w:t>Or https://knowledge.exlibrisgroup.com/SFX/Knowledge_Articles/Using_the_Springer_AutoLoader_for_SFX</w:t>
      </w:r>
    </w:p>
    <w:p w:rsidR="008509D6" w:rsidRPr="00FE0434" w:rsidRDefault="008509D6" w:rsidP="00843A4F">
      <w:pPr>
        <w:jc w:val="both"/>
        <w:rPr>
          <w:rFonts w:ascii="Verdana" w:hAnsi="Verdana"/>
        </w:rPr>
      </w:pPr>
      <w:bookmarkStart w:id="0" w:name="_GoBack"/>
      <w:bookmarkEnd w:id="0"/>
    </w:p>
    <w:sectPr w:rsidR="008509D6" w:rsidRPr="00FE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DFE"/>
    <w:multiLevelType w:val="multilevel"/>
    <w:tmpl w:val="BCD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3249"/>
    <w:multiLevelType w:val="multilevel"/>
    <w:tmpl w:val="A4BC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44FC0"/>
    <w:multiLevelType w:val="hybridMultilevel"/>
    <w:tmpl w:val="6CEA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E7C"/>
    <w:multiLevelType w:val="hybridMultilevel"/>
    <w:tmpl w:val="582C1682"/>
    <w:lvl w:ilvl="0" w:tplc="C8145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212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3257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A298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F01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20EC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E40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E26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D06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7548E"/>
    <w:multiLevelType w:val="hybridMultilevel"/>
    <w:tmpl w:val="2BD01346"/>
    <w:lvl w:ilvl="0" w:tplc="C4B60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161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2E3D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22D8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AE0B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459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EA7F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9CAF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0C1A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225FF"/>
    <w:multiLevelType w:val="hybridMultilevel"/>
    <w:tmpl w:val="A9ACD198"/>
    <w:lvl w:ilvl="0" w:tplc="1E8EB1FC">
      <w:start w:val="1"/>
      <w:numFmt w:val="lowerLetter"/>
      <w:pStyle w:val="List2"/>
      <w:lvlText w:val="%1"/>
      <w:lvlJc w:val="left"/>
      <w:pPr>
        <w:tabs>
          <w:tab w:val="num" w:pos="776"/>
        </w:tabs>
        <w:ind w:left="776" w:hanging="396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D7AE8"/>
    <w:multiLevelType w:val="hybridMultilevel"/>
    <w:tmpl w:val="D8642D26"/>
    <w:lvl w:ilvl="0" w:tplc="69160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3ED9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86E5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A70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70AE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BCA9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44F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E83A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5ED1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A2C92"/>
    <w:multiLevelType w:val="hybridMultilevel"/>
    <w:tmpl w:val="1842F234"/>
    <w:lvl w:ilvl="0" w:tplc="3A54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ED4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8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2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0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2E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4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8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A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89468C"/>
    <w:multiLevelType w:val="multilevel"/>
    <w:tmpl w:val="4C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B7014"/>
    <w:multiLevelType w:val="hybridMultilevel"/>
    <w:tmpl w:val="DBAC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1C56"/>
    <w:multiLevelType w:val="hybridMultilevel"/>
    <w:tmpl w:val="F3443BE6"/>
    <w:lvl w:ilvl="0" w:tplc="F97801F2">
      <w:start w:val="1"/>
      <w:numFmt w:val="bullet"/>
      <w:pStyle w:val="Bullet2"/>
      <w:lvlText w:val=""/>
      <w:lvlJc w:val="left"/>
      <w:pPr>
        <w:tabs>
          <w:tab w:val="num" w:pos="760"/>
        </w:tabs>
        <w:ind w:left="760" w:hanging="380"/>
      </w:pPr>
      <w:rPr>
        <w:rFonts w:ascii="Wingdings" w:hAnsi="Wingdings" w:hint="default"/>
        <w:b w:val="0"/>
        <w:i w:val="0"/>
        <w:color w:val="214263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65174"/>
    <w:multiLevelType w:val="hybridMultilevel"/>
    <w:tmpl w:val="7C54FE46"/>
    <w:lvl w:ilvl="0" w:tplc="084ED1B4">
      <w:start w:val="1"/>
      <w:numFmt w:val="decimal"/>
      <w:pStyle w:val="List1"/>
      <w:lvlText w:val="%1"/>
      <w:lvlJc w:val="left"/>
      <w:pPr>
        <w:tabs>
          <w:tab w:val="num" w:pos="380"/>
        </w:tabs>
        <w:ind w:left="380" w:hanging="380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579F0"/>
    <w:multiLevelType w:val="hybridMultilevel"/>
    <w:tmpl w:val="80C6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0"/>
    <w:rsid w:val="000C17D4"/>
    <w:rsid w:val="001325BA"/>
    <w:rsid w:val="002637EA"/>
    <w:rsid w:val="00303430"/>
    <w:rsid w:val="00325524"/>
    <w:rsid w:val="00544A5A"/>
    <w:rsid w:val="00600107"/>
    <w:rsid w:val="006113DD"/>
    <w:rsid w:val="0062175B"/>
    <w:rsid w:val="00642123"/>
    <w:rsid w:val="007E7F59"/>
    <w:rsid w:val="00843A4F"/>
    <w:rsid w:val="008509D6"/>
    <w:rsid w:val="008A481D"/>
    <w:rsid w:val="009312AB"/>
    <w:rsid w:val="009439A2"/>
    <w:rsid w:val="00954B12"/>
    <w:rsid w:val="00AA1006"/>
    <w:rsid w:val="00C0775C"/>
    <w:rsid w:val="00CA646A"/>
    <w:rsid w:val="00CF1402"/>
    <w:rsid w:val="00DC3F84"/>
    <w:rsid w:val="00EA5B80"/>
    <w:rsid w:val="00EE781D"/>
    <w:rsid w:val="00F06E3E"/>
    <w:rsid w:val="00FB1A6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F0D388-A1FC-44DD-AD2D-2549E40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AA10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5A"/>
    <w:rPr>
      <w:color w:val="0563C1" w:themeColor="hyperlink"/>
      <w:u w:val="single"/>
    </w:rPr>
  </w:style>
  <w:style w:type="paragraph" w:customStyle="1" w:styleId="Bullet2">
    <w:name w:val="Bullet 2"/>
    <w:basedOn w:val="Normal"/>
    <w:rsid w:val="00544A5A"/>
    <w:pPr>
      <w:numPr>
        <w:numId w:val="1"/>
      </w:numPr>
      <w:spacing w:before="120" w:after="120" w:line="240" w:lineRule="auto"/>
    </w:pPr>
    <w:rPr>
      <w:rFonts w:ascii="Arial" w:hAnsi="Arial"/>
      <w:sz w:val="20"/>
      <w:szCs w:val="24"/>
    </w:rPr>
  </w:style>
  <w:style w:type="paragraph" w:customStyle="1" w:styleId="ListContinue1">
    <w:name w:val="List Continue 1"/>
    <w:basedOn w:val="BodyText"/>
    <w:rsid w:val="00544A5A"/>
    <w:pPr>
      <w:spacing w:before="120" w:line="240" w:lineRule="auto"/>
      <w:ind w:left="380"/>
    </w:pPr>
    <w:rPr>
      <w:rFonts w:ascii="Arial" w:hAnsi="Arial"/>
      <w:sz w:val="20"/>
      <w:szCs w:val="24"/>
    </w:rPr>
  </w:style>
  <w:style w:type="paragraph" w:customStyle="1" w:styleId="List1">
    <w:name w:val="List 1"/>
    <w:basedOn w:val="BodyText"/>
    <w:rsid w:val="00544A5A"/>
    <w:pPr>
      <w:numPr>
        <w:numId w:val="2"/>
      </w:numPr>
      <w:tabs>
        <w:tab w:val="clear" w:pos="380"/>
        <w:tab w:val="num" w:pos="360"/>
      </w:tabs>
      <w:spacing w:before="120" w:line="240" w:lineRule="auto"/>
      <w:ind w:left="0" w:firstLine="0"/>
    </w:pPr>
    <w:rPr>
      <w:rFonts w:ascii="Arial" w:hAnsi="Arial"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A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A5A"/>
    <w:rPr>
      <w:rFonts w:cs="Times New Roman"/>
    </w:rPr>
  </w:style>
  <w:style w:type="paragraph" w:styleId="List2">
    <w:name w:val="List 2"/>
    <w:basedOn w:val="BodyText"/>
    <w:rsid w:val="00544A5A"/>
    <w:pPr>
      <w:numPr>
        <w:numId w:val="4"/>
      </w:numPr>
      <w:spacing w:before="120" w:line="240" w:lineRule="auto"/>
    </w:pPr>
    <w:rPr>
      <w:rFonts w:ascii="Palatino Linotype" w:hAnsi="Palatino Linotype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EE7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A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A1006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7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4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6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SFX/Product_Documentation/01_Version_4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carl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dminportal.spring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Denise D</dc:creator>
  <cp:keywords/>
  <dc:description/>
  <cp:lastModifiedBy>Green, Denise D</cp:lastModifiedBy>
  <cp:revision>6</cp:revision>
  <dcterms:created xsi:type="dcterms:W3CDTF">2018-12-14T21:43:00Z</dcterms:created>
  <dcterms:modified xsi:type="dcterms:W3CDTF">2019-01-07T22:29:00Z</dcterms:modified>
</cp:coreProperties>
</file>